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883"/>
        <w:jc w:val="center"/>
        <w:rPr>
          <w:rFonts w:hint="eastAsia" w:ascii="黑体" w:hAnsi="黑体" w:eastAsia="黑体" w:cs="黑体"/>
          <w:b w:val="0"/>
          <w:bCs/>
          <w:sz w:val="32"/>
          <w:szCs w:val="32"/>
        </w:rPr>
      </w:pPr>
      <w:r>
        <w:rPr>
          <w:rFonts w:hint="eastAsia" w:ascii="黑体" w:hAnsi="黑体" w:eastAsia="黑体" w:cs="黑体"/>
          <w:b w:val="0"/>
          <w:bCs/>
          <w:sz w:val="32"/>
          <w:szCs w:val="32"/>
        </w:rPr>
        <w:t>山东省</w:t>
      </w:r>
      <w:r>
        <w:rPr>
          <w:rFonts w:hint="eastAsia" w:ascii="黑体" w:hAnsi="黑体" w:eastAsia="黑体" w:cs="黑体"/>
          <w:b w:val="0"/>
          <w:bCs/>
          <w:sz w:val="32"/>
          <w:szCs w:val="32"/>
          <w:lang w:val="en-US" w:eastAsia="zh-CN"/>
        </w:rPr>
        <w:t>韩台</w:t>
      </w:r>
      <w:r>
        <w:rPr>
          <w:rFonts w:hint="eastAsia" w:ascii="黑体" w:hAnsi="黑体" w:eastAsia="黑体" w:cs="黑体"/>
          <w:b w:val="0"/>
          <w:bCs/>
          <w:sz w:val="32"/>
          <w:szCs w:val="32"/>
        </w:rPr>
        <w:t>矿区总体规划</w:t>
      </w:r>
    </w:p>
    <w:p>
      <w:pPr>
        <w:ind w:firstLine="883"/>
        <w:jc w:val="center"/>
        <w:rPr>
          <w:rFonts w:hint="eastAsia" w:ascii="黑体" w:hAnsi="黑体" w:eastAsia="黑体" w:cs="黑体"/>
          <w:b w:val="0"/>
          <w:bCs/>
          <w:sz w:val="32"/>
          <w:szCs w:val="32"/>
          <w:lang w:eastAsia="zh-CN"/>
        </w:rPr>
      </w:pPr>
      <w:r>
        <w:rPr>
          <w:rFonts w:hint="eastAsia" w:ascii="黑体" w:hAnsi="黑体" w:eastAsia="黑体" w:cs="黑体"/>
          <w:b w:val="0"/>
          <w:bCs/>
          <w:sz w:val="32"/>
          <w:szCs w:val="32"/>
        </w:rPr>
        <w:t>环境影响</w:t>
      </w:r>
      <w:r>
        <w:rPr>
          <w:rFonts w:hint="eastAsia" w:ascii="黑体" w:hAnsi="黑体" w:eastAsia="黑体" w:cs="黑体"/>
          <w:b w:val="0"/>
          <w:bCs/>
          <w:sz w:val="32"/>
          <w:szCs w:val="32"/>
          <w:lang w:val="en-US" w:eastAsia="zh-CN"/>
        </w:rPr>
        <w:t>报告书</w:t>
      </w:r>
      <w:r>
        <w:rPr>
          <w:rFonts w:hint="eastAsia" w:ascii="黑体" w:hAnsi="黑体" w:eastAsia="黑体" w:cs="黑体"/>
          <w:b w:val="0"/>
          <w:bCs/>
          <w:sz w:val="32"/>
          <w:szCs w:val="32"/>
        </w:rPr>
        <w:t>第一次信息</w:t>
      </w:r>
      <w:r>
        <w:rPr>
          <w:rFonts w:hint="eastAsia" w:ascii="黑体" w:hAnsi="黑体" w:eastAsia="黑体" w:cs="黑体"/>
          <w:b w:val="0"/>
          <w:bCs/>
          <w:sz w:val="32"/>
          <w:szCs w:val="32"/>
          <w:lang w:val="en-US" w:eastAsia="zh-CN"/>
        </w:rPr>
        <w:t>公示</w:t>
      </w:r>
    </w:p>
    <w:p>
      <w:pPr>
        <w:keepNext w:val="0"/>
        <w:keepLines w:val="0"/>
        <w:pageBreakBefore w:val="0"/>
        <w:widowControl w:val="0"/>
        <w:kinsoku/>
        <w:wordWrap/>
        <w:overflowPunct/>
        <w:topLinePunct w:val="0"/>
        <w:autoSpaceDE/>
        <w:autoSpaceDN/>
        <w:bidi w:val="0"/>
        <w:adjustRightInd/>
        <w:snapToGrid/>
        <w:spacing w:line="240" w:lineRule="atLeast"/>
        <w:ind w:firstLine="640"/>
        <w:textAlignment w:val="auto"/>
        <w:rPr>
          <w:rFonts w:hint="eastAsia" w:ascii="仿宋" w:hAnsi="仿宋" w:eastAsia="仿宋" w:cs="仿宋"/>
          <w:sz w:val="28"/>
          <w:szCs w:val="28"/>
        </w:rPr>
      </w:pPr>
    </w:p>
    <w:p>
      <w:pPr>
        <w:keepNext w:val="0"/>
        <w:keepLines w:val="0"/>
        <w:pageBreakBefore w:val="0"/>
        <w:widowControl w:val="0"/>
        <w:kinsoku/>
        <w:wordWrap/>
        <w:overflowPunct/>
        <w:topLinePunct w:val="0"/>
        <w:autoSpaceDE/>
        <w:autoSpaceDN/>
        <w:bidi w:val="0"/>
        <w:adjustRightInd/>
        <w:snapToGrid/>
        <w:spacing w:line="240" w:lineRule="atLeast"/>
        <w:ind w:firstLine="640"/>
        <w:textAlignment w:val="auto"/>
        <w:rPr>
          <w:rFonts w:ascii="仿宋" w:hAnsi="仿宋" w:eastAsia="仿宋" w:cs="仿宋"/>
          <w:sz w:val="28"/>
          <w:szCs w:val="28"/>
        </w:rPr>
      </w:pPr>
      <w:r>
        <w:rPr>
          <w:rFonts w:hint="eastAsia" w:ascii="仿宋" w:hAnsi="仿宋" w:eastAsia="仿宋" w:cs="仿宋"/>
          <w:sz w:val="28"/>
          <w:szCs w:val="28"/>
        </w:rPr>
        <w:t>参照《环境影响评价法》和《环境影响评价公众参与办法》（生态环境部令第4号），在项目论证阶段征询与本项目相关的个人与部门对该项目的建设及环境保护等方面的意见，为此，对拟建</w:t>
      </w:r>
      <w:r>
        <w:rPr>
          <w:rFonts w:hint="eastAsia" w:ascii="仿宋" w:hAnsi="仿宋" w:eastAsia="仿宋" w:cs="仿宋"/>
          <w:sz w:val="28"/>
          <w:szCs w:val="28"/>
          <w:lang w:val="en-US" w:eastAsia="zh-CN"/>
        </w:rPr>
        <w:t>矿区</w:t>
      </w:r>
      <w:r>
        <w:rPr>
          <w:rFonts w:hint="eastAsia" w:ascii="仿宋" w:hAnsi="仿宋" w:eastAsia="仿宋" w:cs="仿宋"/>
          <w:sz w:val="28"/>
          <w:szCs w:val="28"/>
        </w:rPr>
        <w:t>进行第一次信息公告，公示期间敬请广大公众积极参与，现将该</w:t>
      </w:r>
      <w:r>
        <w:rPr>
          <w:rFonts w:hint="eastAsia" w:ascii="仿宋" w:hAnsi="仿宋" w:eastAsia="仿宋" w:cs="仿宋"/>
          <w:sz w:val="28"/>
          <w:szCs w:val="28"/>
          <w:lang w:val="en-US" w:eastAsia="zh-CN"/>
        </w:rPr>
        <w:t>矿区</w:t>
      </w:r>
      <w:r>
        <w:rPr>
          <w:rFonts w:hint="eastAsia" w:ascii="仿宋" w:hAnsi="仿宋" w:eastAsia="仿宋" w:cs="仿宋"/>
          <w:sz w:val="28"/>
          <w:szCs w:val="28"/>
        </w:rPr>
        <w:t>的环境影响评价相关信息公告如下：</w:t>
      </w:r>
    </w:p>
    <w:p>
      <w:pPr>
        <w:keepNext w:val="0"/>
        <w:keepLines w:val="0"/>
        <w:pageBreakBefore w:val="0"/>
        <w:widowControl w:val="0"/>
        <w:kinsoku/>
        <w:wordWrap/>
        <w:overflowPunct/>
        <w:topLinePunct w:val="0"/>
        <w:autoSpaceDE/>
        <w:autoSpaceDN/>
        <w:bidi w:val="0"/>
        <w:adjustRightInd/>
        <w:snapToGrid/>
        <w:spacing w:line="240" w:lineRule="atLeast"/>
        <w:ind w:firstLine="643"/>
        <w:textAlignment w:val="auto"/>
        <w:outlineLvl w:val="0"/>
        <w:rPr>
          <w:rFonts w:ascii="仿宋" w:hAnsi="仿宋" w:eastAsia="仿宋" w:cs="仿宋"/>
          <w:b/>
          <w:sz w:val="28"/>
          <w:szCs w:val="28"/>
        </w:rPr>
      </w:pPr>
      <w:r>
        <w:rPr>
          <w:rFonts w:hint="eastAsia" w:ascii="仿宋" w:hAnsi="仿宋" w:eastAsia="仿宋" w:cs="仿宋"/>
          <w:b/>
          <w:sz w:val="28"/>
          <w:szCs w:val="28"/>
        </w:rPr>
        <w:t>1、拟建项目名称及概要</w:t>
      </w:r>
    </w:p>
    <w:p>
      <w:pPr>
        <w:keepNext w:val="0"/>
        <w:keepLines w:val="0"/>
        <w:pageBreakBefore w:val="0"/>
        <w:widowControl w:val="0"/>
        <w:kinsoku/>
        <w:wordWrap/>
        <w:overflowPunct/>
        <w:topLinePunct w:val="0"/>
        <w:autoSpaceDE/>
        <w:autoSpaceDN/>
        <w:bidi w:val="0"/>
        <w:adjustRightInd/>
        <w:snapToGrid/>
        <w:spacing w:line="240" w:lineRule="atLeast"/>
        <w:ind w:firstLine="640"/>
        <w:textAlignment w:val="auto"/>
        <w:rPr>
          <w:rFonts w:ascii="仿宋" w:hAnsi="仿宋" w:eastAsia="仿宋" w:cs="仿宋"/>
          <w:sz w:val="28"/>
          <w:szCs w:val="28"/>
        </w:rPr>
      </w:pPr>
      <w:r>
        <w:rPr>
          <w:rFonts w:hint="eastAsia" w:ascii="仿宋" w:hAnsi="仿宋" w:eastAsia="仿宋" w:cs="仿宋"/>
          <w:sz w:val="28"/>
          <w:szCs w:val="28"/>
        </w:rPr>
        <w:t>（1）项目名称：山东省</w:t>
      </w:r>
      <w:r>
        <w:rPr>
          <w:rFonts w:hint="eastAsia" w:ascii="仿宋" w:hAnsi="仿宋" w:eastAsia="仿宋" w:cs="仿宋"/>
          <w:sz w:val="28"/>
          <w:szCs w:val="28"/>
          <w:lang w:val="en-US" w:eastAsia="zh-CN"/>
        </w:rPr>
        <w:t>韩台</w:t>
      </w:r>
      <w:r>
        <w:rPr>
          <w:rFonts w:hint="eastAsia" w:ascii="仿宋" w:hAnsi="仿宋" w:eastAsia="仿宋" w:cs="仿宋"/>
          <w:sz w:val="28"/>
          <w:szCs w:val="28"/>
        </w:rPr>
        <w:t>矿区总体规划；</w:t>
      </w:r>
    </w:p>
    <w:p>
      <w:pPr>
        <w:keepNext w:val="0"/>
        <w:keepLines w:val="0"/>
        <w:pageBreakBefore w:val="0"/>
        <w:widowControl w:val="0"/>
        <w:kinsoku/>
        <w:wordWrap/>
        <w:overflowPunct/>
        <w:topLinePunct w:val="0"/>
        <w:autoSpaceDE/>
        <w:autoSpaceDN/>
        <w:bidi w:val="0"/>
        <w:adjustRightInd/>
        <w:snapToGrid/>
        <w:spacing w:line="240" w:lineRule="atLeast"/>
        <w:ind w:firstLine="640"/>
        <w:textAlignment w:val="auto"/>
        <w:rPr>
          <w:rFonts w:ascii="仿宋" w:hAnsi="仿宋" w:eastAsia="仿宋" w:cs="仿宋"/>
          <w:sz w:val="28"/>
          <w:szCs w:val="28"/>
        </w:rPr>
      </w:pPr>
      <w:r>
        <w:rPr>
          <w:rFonts w:hint="eastAsia" w:ascii="仿宋" w:hAnsi="仿宋" w:eastAsia="仿宋" w:cs="仿宋"/>
          <w:sz w:val="28"/>
          <w:szCs w:val="28"/>
        </w:rPr>
        <w:t>（2）拟建</w:t>
      </w:r>
      <w:r>
        <w:rPr>
          <w:rFonts w:hint="eastAsia" w:ascii="仿宋" w:hAnsi="仿宋" w:eastAsia="仿宋" w:cs="仿宋"/>
          <w:sz w:val="28"/>
          <w:szCs w:val="28"/>
          <w:lang w:val="en-US" w:eastAsia="zh-CN"/>
        </w:rPr>
        <w:t>矿区</w:t>
      </w:r>
      <w:r>
        <w:rPr>
          <w:rFonts w:hint="eastAsia" w:ascii="仿宋" w:hAnsi="仿宋" w:eastAsia="仿宋" w:cs="仿宋"/>
          <w:sz w:val="28"/>
          <w:szCs w:val="28"/>
        </w:rPr>
        <w:t>概要：</w:t>
      </w:r>
    </w:p>
    <w:p>
      <w:pPr>
        <w:keepNext w:val="0"/>
        <w:keepLines w:val="0"/>
        <w:pageBreakBefore w:val="0"/>
        <w:widowControl w:val="0"/>
        <w:kinsoku/>
        <w:wordWrap/>
        <w:overflowPunct/>
        <w:topLinePunct w:val="0"/>
        <w:autoSpaceDE/>
        <w:autoSpaceDN/>
        <w:bidi w:val="0"/>
        <w:adjustRightInd/>
        <w:snapToGrid/>
        <w:spacing w:line="240" w:lineRule="atLeast"/>
        <w:ind w:firstLine="640"/>
        <w:textAlignment w:val="auto"/>
        <w:rPr>
          <w:rFonts w:hint="eastAsia" w:ascii="仿宋" w:hAnsi="仿宋" w:eastAsia="仿宋" w:cs="仿宋"/>
          <w:sz w:val="28"/>
          <w:szCs w:val="28"/>
        </w:rPr>
      </w:pPr>
      <w:r>
        <w:rPr>
          <w:rFonts w:hint="default" w:ascii="仿宋" w:hAnsi="仿宋" w:eastAsia="仿宋" w:cs="仿宋"/>
          <w:sz w:val="28"/>
          <w:szCs w:val="28"/>
          <w:lang w:val="en-US" w:eastAsia="zh-CN"/>
        </w:rPr>
        <w:t>山东省</w:t>
      </w:r>
      <w:r>
        <w:rPr>
          <w:rFonts w:hint="default" w:ascii="仿宋" w:hAnsi="仿宋" w:eastAsia="仿宋" w:cs="仿宋"/>
          <w:sz w:val="28"/>
          <w:szCs w:val="28"/>
        </w:rPr>
        <w:t>韩台煤炭矿区地处山东省南部与江苏省北部交界处。行政区划属枣庄市</w:t>
      </w:r>
      <w:r>
        <w:rPr>
          <w:rFonts w:hint="eastAsia" w:ascii="仿宋" w:hAnsi="仿宋" w:eastAsia="仿宋" w:cs="仿宋"/>
          <w:sz w:val="28"/>
          <w:szCs w:val="28"/>
          <w:lang w:val="en-US" w:eastAsia="zh-CN"/>
        </w:rPr>
        <w:t>峄城区、济宁市微山县</w:t>
      </w:r>
      <w:r>
        <w:rPr>
          <w:rFonts w:hint="default" w:ascii="仿宋" w:hAnsi="仿宋" w:eastAsia="仿宋" w:cs="仿宋"/>
          <w:sz w:val="28"/>
          <w:szCs w:val="28"/>
        </w:rPr>
        <w:t>，西起</w:t>
      </w:r>
      <w:r>
        <w:rPr>
          <w:rFonts w:hint="eastAsia" w:ascii="仿宋" w:hAnsi="仿宋" w:eastAsia="仿宋" w:cs="仿宋"/>
          <w:sz w:val="28"/>
          <w:szCs w:val="28"/>
          <w:lang w:val="en-US" w:eastAsia="zh-CN"/>
        </w:rPr>
        <w:t>微山县</w:t>
      </w:r>
      <w:r>
        <w:rPr>
          <w:rFonts w:hint="default" w:ascii="仿宋" w:hAnsi="仿宋" w:eastAsia="仿宋" w:cs="仿宋"/>
          <w:sz w:val="28"/>
          <w:szCs w:val="28"/>
        </w:rPr>
        <w:t>高楼，东至</w:t>
      </w:r>
      <w:r>
        <w:rPr>
          <w:rFonts w:hint="eastAsia" w:ascii="仿宋" w:hAnsi="仿宋" w:eastAsia="仿宋" w:cs="仿宋"/>
          <w:sz w:val="28"/>
          <w:szCs w:val="28"/>
          <w:lang w:val="en-US" w:eastAsia="zh-CN"/>
        </w:rPr>
        <w:t>枣庄市峄城区、</w:t>
      </w:r>
      <w:r>
        <w:rPr>
          <w:rFonts w:hint="default" w:ascii="仿宋" w:hAnsi="仿宋" w:eastAsia="仿宋" w:cs="仿宋"/>
          <w:sz w:val="28"/>
          <w:szCs w:val="28"/>
        </w:rPr>
        <w:t>台儿庄</w:t>
      </w:r>
      <w:r>
        <w:rPr>
          <w:rFonts w:hint="eastAsia" w:ascii="仿宋" w:hAnsi="仿宋" w:eastAsia="仿宋" w:cs="仿宋"/>
          <w:sz w:val="28"/>
          <w:szCs w:val="28"/>
          <w:lang w:val="en-US" w:eastAsia="zh-CN"/>
        </w:rPr>
        <w:t>区</w:t>
      </w:r>
      <w:r>
        <w:rPr>
          <w:rFonts w:hint="default" w:ascii="仿宋" w:hAnsi="仿宋" w:eastAsia="仿宋" w:cs="仿宋"/>
          <w:sz w:val="28"/>
          <w:szCs w:val="28"/>
        </w:rPr>
        <w:t>，东西长约45公里；北到韩台断层，南至山东省省界，南北宽约14公里。地理坐标：东经117°8′2″-117°37′41″，北纬34°29′00″-34°36′45″。</w:t>
      </w:r>
    </w:p>
    <w:p>
      <w:pPr>
        <w:keepNext w:val="0"/>
        <w:keepLines w:val="0"/>
        <w:pageBreakBefore w:val="0"/>
        <w:widowControl w:val="0"/>
        <w:kinsoku/>
        <w:wordWrap/>
        <w:overflowPunct/>
        <w:topLinePunct w:val="0"/>
        <w:autoSpaceDE/>
        <w:autoSpaceDN/>
        <w:bidi w:val="0"/>
        <w:adjustRightInd/>
        <w:snapToGrid/>
        <w:spacing w:line="240" w:lineRule="atLeast"/>
        <w:ind w:firstLine="560" w:firstLineChars="200"/>
        <w:textAlignment w:val="auto"/>
        <w:rPr>
          <w:rFonts w:hint="default"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由于韩台煤炭矿区内各煤矿规模较小、零星分布、彼此横向不连续的特点，本次规划将矿区划分为3个片区，分别为Ⅰ区（永胜煤矿）、Ⅱ区（大兴煤矿、福兴煤矿、张山子煤矿）和Ⅲ区（新宏煤矿、红庙煤矿）。Ⅰ区东西长约10.7km，南北宽约7.8km，</w:t>
      </w:r>
      <w:r>
        <w:rPr>
          <w:rFonts w:hint="eastAsia" w:ascii="仿宋" w:hAnsi="仿宋" w:eastAsia="仿宋" w:cs="仿宋"/>
          <w:bCs/>
          <w:color w:val="000000" w:themeColor="text1"/>
          <w:sz w:val="28"/>
          <w:szCs w:val="28"/>
          <w:lang w:val="en-US" w:eastAsia="zh-CN"/>
          <w14:textFill>
            <w14:solidFill>
              <w14:schemeClr w14:val="tx1"/>
            </w14:solidFill>
          </w14:textFill>
        </w:rPr>
        <w:t>面积56.82km</w:t>
      </w:r>
      <w:r>
        <w:rPr>
          <w:rFonts w:hint="eastAsia" w:ascii="仿宋" w:hAnsi="仿宋" w:eastAsia="仿宋" w:cs="仿宋"/>
          <w:bCs/>
          <w:color w:val="000000" w:themeColor="text1"/>
          <w:sz w:val="28"/>
          <w:szCs w:val="28"/>
          <w:vertAlign w:val="superscript"/>
          <w:lang w:val="en-US" w:eastAsia="zh-CN"/>
          <w14:textFill>
            <w14:solidFill>
              <w14:schemeClr w14:val="tx1"/>
            </w14:solidFill>
          </w14:textFill>
        </w:rPr>
        <w:t>2</w:t>
      </w:r>
      <w:r>
        <w:rPr>
          <w:rFonts w:hint="eastAsia" w:ascii="仿宋" w:hAnsi="仿宋" w:eastAsia="仿宋" w:cs="仿宋"/>
          <w:bCs/>
          <w:color w:val="000000" w:themeColor="text1"/>
          <w:sz w:val="28"/>
          <w:szCs w:val="28"/>
          <w:lang w:val="en-US" w:eastAsia="zh-CN"/>
          <w14:textFill>
            <w14:solidFill>
              <w14:schemeClr w14:val="tx1"/>
            </w14:solidFill>
          </w14:textFill>
        </w:rPr>
        <w:t>。</w:t>
      </w:r>
      <w:r>
        <w:rPr>
          <w:rFonts w:hint="eastAsia" w:ascii="仿宋" w:hAnsi="仿宋" w:eastAsia="仿宋" w:cs="仿宋"/>
          <w:bCs/>
          <w:color w:val="auto"/>
          <w:sz w:val="28"/>
          <w:szCs w:val="28"/>
          <w:lang w:val="en-US" w:eastAsia="zh-CN"/>
        </w:rPr>
        <w:t>Ⅱ区东西长约6.4km，南北宽约6.2km，面积19.97km</w:t>
      </w:r>
      <w:r>
        <w:rPr>
          <w:rFonts w:hint="eastAsia" w:ascii="仿宋" w:hAnsi="仿宋" w:eastAsia="仿宋" w:cs="仿宋"/>
          <w:bCs/>
          <w:color w:val="auto"/>
          <w:sz w:val="28"/>
          <w:szCs w:val="28"/>
          <w:vertAlign w:val="superscript"/>
          <w:lang w:val="en-US" w:eastAsia="zh-CN"/>
        </w:rPr>
        <w:t>2</w:t>
      </w:r>
      <w:r>
        <w:rPr>
          <w:rFonts w:hint="eastAsia" w:ascii="仿宋" w:hAnsi="仿宋" w:eastAsia="仿宋" w:cs="仿宋"/>
          <w:bCs/>
          <w:color w:val="auto"/>
          <w:sz w:val="28"/>
          <w:szCs w:val="28"/>
          <w:lang w:val="en-US" w:eastAsia="zh-CN"/>
        </w:rPr>
        <w:t>。Ⅲ区南北长约3.1km，东西宽约2.8km，面积7.58km</w:t>
      </w:r>
      <w:r>
        <w:rPr>
          <w:rFonts w:hint="eastAsia" w:ascii="仿宋" w:hAnsi="仿宋" w:eastAsia="仿宋" w:cs="仿宋"/>
          <w:bCs/>
          <w:color w:val="auto"/>
          <w:sz w:val="28"/>
          <w:szCs w:val="28"/>
          <w:vertAlign w:val="superscript"/>
          <w:lang w:val="en-US" w:eastAsia="zh-CN"/>
        </w:rPr>
        <w:t>2</w:t>
      </w:r>
      <w:r>
        <w:rPr>
          <w:rFonts w:hint="eastAsia" w:ascii="仿宋" w:hAnsi="仿宋" w:eastAsia="仿宋" w:cs="仿宋"/>
          <w:bCs/>
          <w:color w:val="auto"/>
          <w:sz w:val="28"/>
          <w:szCs w:val="28"/>
          <w:lang w:val="en-US" w:eastAsia="zh-CN"/>
        </w:rPr>
        <w:t>。合计总规划面积84.36km</w:t>
      </w:r>
      <w:r>
        <w:rPr>
          <w:rFonts w:hint="eastAsia" w:ascii="仿宋" w:hAnsi="仿宋" w:eastAsia="仿宋" w:cs="仿宋"/>
          <w:bCs/>
          <w:color w:val="auto"/>
          <w:sz w:val="28"/>
          <w:szCs w:val="28"/>
          <w:vertAlign w:val="superscript"/>
          <w:lang w:val="en-US" w:eastAsia="zh-CN"/>
        </w:rPr>
        <w:t>2</w:t>
      </w:r>
      <w:r>
        <w:rPr>
          <w:rFonts w:hint="eastAsia" w:ascii="仿宋" w:hAnsi="仿宋" w:eastAsia="仿宋" w:cs="仿宋"/>
          <w:bCs/>
          <w:color w:val="auto"/>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line="240" w:lineRule="atLeast"/>
        <w:ind w:firstLine="640"/>
        <w:textAlignment w:val="auto"/>
        <w:rPr>
          <w:rFonts w:hint="eastAsia" w:ascii="仿宋" w:hAnsi="仿宋" w:eastAsia="仿宋" w:cs="仿宋"/>
          <w:sz w:val="28"/>
          <w:szCs w:val="28"/>
          <w:lang w:eastAsia="zh-CN"/>
        </w:rPr>
      </w:pPr>
      <w:r>
        <w:rPr>
          <w:rFonts w:hint="eastAsia" w:ascii="仿宋" w:hAnsi="仿宋" w:eastAsia="仿宋" w:cs="仿宋"/>
          <w:sz w:val="28"/>
          <w:szCs w:val="28"/>
        </w:rPr>
        <w:t>截止2022年12月31日，韩台煤炭矿区已评审备案累计查明资源量25385.3万t</w:t>
      </w:r>
      <w:r>
        <w:rPr>
          <w:rFonts w:hint="eastAsia" w:ascii="仿宋" w:hAnsi="仿宋" w:eastAsia="仿宋" w:cs="仿宋"/>
          <w:sz w:val="28"/>
          <w:szCs w:val="28"/>
          <w:lang w:eastAsia="zh-CN"/>
        </w:rPr>
        <w:t>，</w:t>
      </w:r>
      <w:r>
        <w:rPr>
          <w:rFonts w:hint="eastAsia" w:ascii="仿宋" w:hAnsi="仿宋" w:eastAsia="仿宋" w:cs="仿宋"/>
          <w:sz w:val="28"/>
          <w:szCs w:val="28"/>
        </w:rPr>
        <w:t>矿区范围内保有资源量总计24552.5万t</w:t>
      </w:r>
      <w:r>
        <w:rPr>
          <w:rFonts w:hint="eastAsia" w:ascii="仿宋" w:hAnsi="仿宋" w:eastAsia="仿宋" w:cs="仿宋"/>
          <w:sz w:val="28"/>
          <w:szCs w:val="28"/>
          <w:lang w:eastAsia="zh-CN"/>
        </w:rPr>
        <w:t>。</w:t>
      </w:r>
    </w:p>
    <w:p>
      <w:pPr>
        <w:keepNext w:val="0"/>
        <w:keepLines w:val="0"/>
        <w:pageBreakBefore w:val="0"/>
        <w:widowControl w:val="0"/>
        <w:kinsoku/>
        <w:wordWrap/>
        <w:overflowPunct/>
        <w:topLinePunct w:val="0"/>
        <w:autoSpaceDE/>
        <w:autoSpaceDN/>
        <w:bidi w:val="0"/>
        <w:adjustRightInd/>
        <w:snapToGrid/>
        <w:spacing w:line="240" w:lineRule="atLeast"/>
        <w:ind w:firstLine="64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zh-CN"/>
        </w:rPr>
        <w:t>韩台煤炭矿区内现有采矿权</w:t>
      </w:r>
      <w:r>
        <w:rPr>
          <w:rFonts w:hint="eastAsia" w:ascii="仿宋" w:hAnsi="仿宋" w:eastAsia="仿宋" w:cs="仿宋"/>
          <w:sz w:val="28"/>
          <w:szCs w:val="28"/>
        </w:rPr>
        <w:t>3</w:t>
      </w:r>
      <w:r>
        <w:rPr>
          <w:rFonts w:hint="eastAsia" w:ascii="仿宋" w:hAnsi="仿宋" w:eastAsia="仿宋" w:cs="仿宋"/>
          <w:sz w:val="28"/>
          <w:szCs w:val="28"/>
          <w:lang w:val="zh-CN"/>
        </w:rPr>
        <w:t>处，其中有效采矿权2个，分别为</w:t>
      </w:r>
      <w:r>
        <w:rPr>
          <w:rFonts w:hint="eastAsia" w:ascii="仿宋" w:hAnsi="仿宋" w:eastAsia="仿宋" w:cs="仿宋"/>
          <w:sz w:val="28"/>
          <w:szCs w:val="28"/>
        </w:rPr>
        <w:t>枣庄大兴矿业有限责任公司大兴煤矿和福兴集团有限公司福兴煤矿；保留采矿权1个，为山东省微山湖矿业集团有限公司永胜煤矿</w:t>
      </w:r>
      <w:r>
        <w:rPr>
          <w:rFonts w:hint="eastAsia" w:ascii="仿宋" w:hAnsi="仿宋" w:eastAsia="仿宋" w:cs="仿宋"/>
          <w:sz w:val="28"/>
          <w:szCs w:val="28"/>
          <w:lang w:val="zh-CN"/>
        </w:rPr>
        <w:t>。</w:t>
      </w:r>
      <w:r>
        <w:rPr>
          <w:rFonts w:hint="eastAsia" w:ascii="仿宋" w:hAnsi="仿宋" w:eastAsia="仿宋" w:cs="仿宋"/>
          <w:sz w:val="28"/>
          <w:szCs w:val="28"/>
          <w:lang w:val="en-US" w:eastAsia="zh-CN"/>
        </w:rPr>
        <w:t>注销采矿权3个，分别为</w:t>
      </w:r>
      <w:r>
        <w:rPr>
          <w:rFonts w:hint="eastAsia" w:ascii="仿宋" w:hAnsi="仿宋" w:eastAsia="仿宋" w:cs="仿宋"/>
          <w:sz w:val="28"/>
          <w:szCs w:val="28"/>
          <w:lang w:val="zh-CN"/>
        </w:rPr>
        <w:t>山东弘泰福源矿业有限公司红庙煤矿</w:t>
      </w:r>
      <w:r>
        <w:rPr>
          <w:rFonts w:hint="eastAsia" w:ascii="仿宋" w:hAnsi="仿宋" w:eastAsia="仿宋" w:cs="仿宋"/>
          <w:sz w:val="28"/>
          <w:szCs w:val="28"/>
          <w:lang w:val="zh-CN" w:eastAsia="zh-CN"/>
        </w:rPr>
        <w:t>、</w:t>
      </w:r>
      <w:r>
        <w:rPr>
          <w:rFonts w:hint="eastAsia" w:ascii="仿宋" w:hAnsi="仿宋" w:eastAsia="仿宋" w:cs="仿宋"/>
          <w:sz w:val="28"/>
          <w:szCs w:val="28"/>
          <w:lang w:val="zh-CN"/>
        </w:rPr>
        <w:t>山东王晁煤电集团新宏煤业有限公司新宏煤矿</w:t>
      </w:r>
      <w:r>
        <w:rPr>
          <w:rFonts w:hint="eastAsia" w:ascii="仿宋" w:hAnsi="仿宋" w:eastAsia="仿宋" w:cs="仿宋"/>
          <w:sz w:val="28"/>
          <w:szCs w:val="28"/>
          <w:lang w:val="zh-CN" w:eastAsia="zh-CN"/>
        </w:rPr>
        <w:t>、</w:t>
      </w:r>
      <w:r>
        <w:rPr>
          <w:rFonts w:hint="eastAsia" w:ascii="仿宋" w:hAnsi="仿宋" w:eastAsia="仿宋" w:cs="仿宋"/>
          <w:sz w:val="28"/>
          <w:szCs w:val="28"/>
          <w:lang w:val="zh-CN"/>
        </w:rPr>
        <w:t>枣庄市张山子煤业有限公司张山子煤矿。</w:t>
      </w:r>
    </w:p>
    <w:p>
      <w:pPr>
        <w:keepNext w:val="0"/>
        <w:keepLines w:val="0"/>
        <w:pageBreakBefore w:val="0"/>
        <w:widowControl w:val="0"/>
        <w:kinsoku/>
        <w:wordWrap/>
        <w:overflowPunct/>
        <w:topLinePunct w:val="0"/>
        <w:autoSpaceDE/>
        <w:autoSpaceDN/>
        <w:bidi w:val="0"/>
        <w:adjustRightInd/>
        <w:snapToGrid/>
        <w:spacing w:line="240" w:lineRule="atLeast"/>
        <w:ind w:firstLine="640"/>
        <w:textAlignment w:val="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韩台煤炭矿区规划产能130万吨/年。</w:t>
      </w:r>
    </w:p>
    <w:p>
      <w:pPr>
        <w:numPr>
          <w:ilvl w:val="0"/>
          <w:numId w:val="1"/>
        </w:numPr>
        <w:spacing w:line="560" w:lineRule="exact"/>
        <w:ind w:firstLine="643"/>
        <w:outlineLvl w:val="0"/>
        <w:rPr>
          <w:rFonts w:hint="eastAsia" w:ascii="仿宋" w:hAnsi="仿宋" w:eastAsia="仿宋" w:cs="仿宋"/>
          <w:b/>
          <w:color w:val="000000" w:themeColor="text1"/>
          <w:sz w:val="28"/>
          <w:szCs w:val="28"/>
        </w:rPr>
      </w:pPr>
      <w:r>
        <w:rPr>
          <w:rFonts w:hint="eastAsia" w:ascii="仿宋" w:hAnsi="仿宋" w:eastAsia="仿宋" w:cs="仿宋"/>
          <w:b/>
          <w:color w:val="000000" w:themeColor="text1"/>
          <w:sz w:val="28"/>
          <w:szCs w:val="28"/>
        </w:rPr>
        <w:t>建设单位名称及联系方式</w:t>
      </w:r>
    </w:p>
    <w:tbl>
      <w:tblPr>
        <w:tblStyle w:val="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10"/>
        <w:gridCol w:w="1731"/>
        <w:gridCol w:w="2616"/>
        <w:gridCol w:w="1041"/>
        <w:gridCol w:w="1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87" w:type="pct"/>
            <w:noWrap w:val="0"/>
            <w:vAlign w:val="center"/>
          </w:tcPr>
          <w:p>
            <w:pPr>
              <w:keepNext w:val="0"/>
              <w:keepLines w:val="0"/>
              <w:suppressLineNumbers w:val="0"/>
              <w:spacing w:before="0" w:beforeAutospacing="0" w:after="0" w:afterAutospacing="0" w:line="560" w:lineRule="exact"/>
              <w:ind w:left="0" w:leftChars="0" w:right="0" w:firstLine="0" w:firstLineChars="0"/>
              <w:jc w:val="center"/>
              <w:rPr>
                <w:rFonts w:hint="default" w:ascii="仿宋" w:hAnsi="仿宋" w:eastAsia="仿宋" w:cs="仿宋"/>
                <w:color w:val="000000" w:themeColor="text1"/>
                <w:sz w:val="24"/>
                <w:szCs w:val="24"/>
                <w:vertAlign w:val="baseline"/>
                <w:lang w:val="en-US" w:eastAsia="zh-CN"/>
              </w:rPr>
            </w:pPr>
            <w:r>
              <w:rPr>
                <w:rFonts w:hint="eastAsia" w:ascii="仿宋" w:hAnsi="仿宋" w:eastAsia="仿宋" w:cs="仿宋"/>
                <w:color w:val="000000" w:themeColor="text1"/>
                <w:sz w:val="24"/>
                <w:szCs w:val="24"/>
                <w:vertAlign w:val="baseline"/>
                <w:lang w:val="en-US" w:eastAsia="zh-CN"/>
              </w:rPr>
              <w:t>建设单位名称</w:t>
            </w:r>
          </w:p>
        </w:tc>
        <w:tc>
          <w:tcPr>
            <w:tcW w:w="936"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仿宋" w:hAnsi="仿宋" w:eastAsia="仿宋" w:cs="仿宋"/>
                <w:b w:val="0"/>
                <w:bCs/>
                <w:color w:val="auto"/>
                <w:sz w:val="24"/>
                <w:szCs w:val="24"/>
                <w:u w:val="none"/>
              </w:rPr>
            </w:pPr>
            <w:r>
              <w:rPr>
                <w:rFonts w:hint="eastAsia" w:ascii="仿宋" w:hAnsi="仿宋" w:eastAsia="仿宋" w:cs="仿宋"/>
                <w:b w:val="0"/>
                <w:bCs/>
                <w:color w:val="auto"/>
                <w:sz w:val="24"/>
                <w:szCs w:val="24"/>
                <w:u w:val="none"/>
              </w:rPr>
              <w:t>通讯地址</w:t>
            </w:r>
          </w:p>
        </w:tc>
        <w:tc>
          <w:tcPr>
            <w:tcW w:w="1415"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仿宋" w:hAnsi="仿宋" w:eastAsia="仿宋" w:cs="仿宋"/>
                <w:b w:val="0"/>
                <w:bCs/>
                <w:color w:val="auto"/>
                <w:sz w:val="24"/>
                <w:szCs w:val="24"/>
                <w:u w:val="none"/>
                <w:lang w:val="en-US" w:eastAsia="zh-CN"/>
              </w:rPr>
            </w:pPr>
            <w:r>
              <w:rPr>
                <w:rFonts w:hint="eastAsia" w:ascii="仿宋" w:hAnsi="仿宋" w:eastAsia="仿宋" w:cs="仿宋"/>
                <w:b w:val="0"/>
                <w:bCs/>
                <w:color w:val="auto"/>
                <w:sz w:val="24"/>
                <w:szCs w:val="24"/>
                <w:u w:val="none"/>
              </w:rPr>
              <w:t>邮箱</w:t>
            </w:r>
          </w:p>
        </w:tc>
        <w:tc>
          <w:tcPr>
            <w:tcW w:w="563"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仿宋" w:hAnsi="仿宋" w:eastAsia="仿宋" w:cs="仿宋"/>
                <w:b w:val="0"/>
                <w:bCs/>
                <w:color w:val="auto"/>
                <w:sz w:val="24"/>
                <w:szCs w:val="24"/>
                <w:u w:val="none"/>
              </w:rPr>
            </w:pPr>
            <w:r>
              <w:rPr>
                <w:rFonts w:hint="eastAsia" w:ascii="仿宋" w:hAnsi="仿宋" w:eastAsia="仿宋" w:cs="仿宋"/>
                <w:b w:val="0"/>
                <w:bCs/>
                <w:color w:val="auto"/>
                <w:sz w:val="24"/>
                <w:szCs w:val="24"/>
                <w:u w:val="none"/>
              </w:rPr>
              <w:t>联系人</w:t>
            </w:r>
          </w:p>
        </w:tc>
        <w:tc>
          <w:tcPr>
            <w:tcW w:w="997"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仿宋" w:hAnsi="仿宋" w:eastAsia="仿宋" w:cs="仿宋"/>
                <w:b w:val="0"/>
                <w:bCs/>
                <w:color w:val="auto"/>
                <w:sz w:val="24"/>
                <w:szCs w:val="24"/>
                <w:u w:val="none"/>
              </w:rPr>
            </w:pPr>
            <w:r>
              <w:rPr>
                <w:rFonts w:hint="eastAsia" w:ascii="仿宋" w:hAnsi="仿宋" w:eastAsia="仿宋" w:cs="仿宋"/>
                <w:b w:val="0"/>
                <w:bCs/>
                <w:color w:val="auto"/>
                <w:sz w:val="24"/>
                <w:szCs w:val="24"/>
                <w:u w:val="none"/>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87"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仿宋" w:hAnsi="仿宋" w:eastAsia="仿宋" w:cs="仿宋"/>
                <w:b w:val="0"/>
                <w:bCs/>
                <w:color w:val="000000" w:themeColor="text1"/>
                <w:sz w:val="24"/>
                <w:szCs w:val="24"/>
                <w:u w:val="none"/>
              </w:rPr>
            </w:pPr>
            <w:r>
              <w:rPr>
                <w:rFonts w:hint="eastAsia" w:ascii="仿宋" w:hAnsi="仿宋" w:eastAsia="仿宋" w:cs="仿宋"/>
                <w:b w:val="0"/>
                <w:bCs/>
                <w:color w:val="000000" w:themeColor="text1"/>
                <w:sz w:val="24"/>
                <w:szCs w:val="24"/>
                <w:u w:val="none"/>
              </w:rPr>
              <w:t>枣庄大兴矿业有限责任公司</w:t>
            </w:r>
          </w:p>
        </w:tc>
        <w:tc>
          <w:tcPr>
            <w:tcW w:w="936"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val="0"/>
                <w:bCs/>
                <w:color w:val="000000" w:themeColor="text1"/>
                <w:kern w:val="2"/>
                <w:sz w:val="24"/>
                <w:szCs w:val="24"/>
                <w:u w:val="none"/>
                <w:lang w:val="en-US" w:eastAsia="zh-CN" w:bidi="ar-SA"/>
                <w14:textFill>
                  <w14:solidFill>
                    <w14:schemeClr w14:val="tx1"/>
                  </w14:solidFill>
                </w14:textFill>
              </w:rPr>
            </w:pPr>
            <w:r>
              <w:rPr>
                <w:rFonts w:hint="eastAsia" w:ascii="仿宋" w:hAnsi="仿宋" w:eastAsia="仿宋" w:cs="仿宋"/>
                <w:b w:val="0"/>
                <w:bCs/>
                <w:color w:val="000000" w:themeColor="text1"/>
                <w:sz w:val="24"/>
                <w:szCs w:val="24"/>
                <w:u w:val="none"/>
                <w14:textFill>
                  <w14:solidFill>
                    <w14:schemeClr w14:val="tx1"/>
                  </w14:solidFill>
                </w14:textFill>
              </w:rPr>
              <w:t>山东省枣庄市峄城区古邵镇大辛庄</w:t>
            </w:r>
          </w:p>
        </w:tc>
        <w:tc>
          <w:tcPr>
            <w:tcW w:w="1415"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val="0"/>
                <w:bCs/>
                <w:color w:val="000000" w:themeColor="text1"/>
                <w:kern w:val="2"/>
                <w:sz w:val="24"/>
                <w:szCs w:val="24"/>
                <w:u w:val="none"/>
                <w:lang w:val="en-US" w:eastAsia="zh-CN" w:bidi="ar-SA"/>
                <w14:textFill>
                  <w14:solidFill>
                    <w14:schemeClr w14:val="tx1"/>
                  </w14:solidFill>
                </w14:textFill>
              </w:rPr>
            </w:pPr>
            <w:r>
              <w:rPr>
                <w:rFonts w:hint="eastAsia" w:ascii="仿宋" w:hAnsi="仿宋" w:eastAsia="仿宋" w:cs="仿宋"/>
                <w:b w:val="0"/>
                <w:bCs/>
                <w:color w:val="000000" w:themeColor="text1"/>
                <w:sz w:val="24"/>
                <w:szCs w:val="24"/>
                <w:u w:val="none"/>
                <w:lang w:val="en-US" w:eastAsia="zh-CN"/>
                <w14:textFill>
                  <w14:solidFill>
                    <w14:schemeClr w14:val="tx1"/>
                  </w14:solidFill>
                </w14:textFill>
              </w:rPr>
              <w:t>dxjs8296@163.com</w:t>
            </w:r>
          </w:p>
        </w:tc>
        <w:tc>
          <w:tcPr>
            <w:tcW w:w="563"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仿宋" w:hAnsi="仿宋" w:eastAsia="仿宋" w:cs="仿宋"/>
                <w:b w:val="0"/>
                <w:bCs/>
                <w:color w:val="000000" w:themeColor="text1"/>
                <w:kern w:val="2"/>
                <w:sz w:val="24"/>
                <w:szCs w:val="24"/>
                <w:u w:val="none"/>
                <w:lang w:val="en-US" w:eastAsia="zh-CN" w:bidi="ar-SA"/>
                <w14:textFill>
                  <w14:solidFill>
                    <w14:schemeClr w14:val="tx1"/>
                  </w14:solidFill>
                </w14:textFill>
              </w:rPr>
            </w:pPr>
            <w:r>
              <w:rPr>
                <w:rFonts w:hint="eastAsia" w:ascii="仿宋" w:hAnsi="仿宋" w:eastAsia="仿宋" w:cs="仿宋"/>
                <w:b w:val="0"/>
                <w:bCs/>
                <w:color w:val="000000" w:themeColor="text1"/>
                <w:sz w:val="24"/>
                <w:szCs w:val="24"/>
                <w:u w:val="none"/>
                <w:lang w:val="en-US" w:eastAsia="zh-CN"/>
                <w14:textFill>
                  <w14:solidFill>
                    <w14:schemeClr w14:val="tx1"/>
                  </w14:solidFill>
                </w14:textFill>
              </w:rPr>
              <w:t>褚福标</w:t>
            </w:r>
          </w:p>
        </w:tc>
        <w:tc>
          <w:tcPr>
            <w:tcW w:w="997"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仿宋" w:hAnsi="仿宋" w:eastAsia="仿宋" w:cs="仿宋"/>
                <w:b w:val="0"/>
                <w:bCs/>
                <w:color w:val="000000" w:themeColor="text1"/>
                <w:kern w:val="2"/>
                <w:sz w:val="24"/>
                <w:szCs w:val="24"/>
                <w:u w:val="none"/>
                <w:lang w:val="en-US" w:eastAsia="zh-CN" w:bidi="ar-SA"/>
                <w14:textFill>
                  <w14:solidFill>
                    <w14:schemeClr w14:val="tx1"/>
                  </w14:solidFill>
                </w14:textFill>
              </w:rPr>
            </w:pPr>
            <w:r>
              <w:rPr>
                <w:rFonts w:hint="eastAsia" w:ascii="仿宋" w:hAnsi="仿宋" w:eastAsia="仿宋" w:cs="仿宋"/>
                <w:b w:val="0"/>
                <w:bCs/>
                <w:color w:val="000000" w:themeColor="text1"/>
                <w:sz w:val="24"/>
                <w:szCs w:val="24"/>
                <w:u w:val="none"/>
                <w:lang w:val="en-US" w:eastAsia="zh-CN"/>
                <w14:textFill>
                  <w14:solidFill>
                    <w14:schemeClr w14:val="tx1"/>
                  </w14:solidFill>
                </w14:textFill>
              </w:rPr>
              <w:t>13963272720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87"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仿宋" w:hAnsi="仿宋" w:eastAsia="仿宋" w:cs="仿宋"/>
                <w:b w:val="0"/>
                <w:bCs/>
                <w:color w:val="000000" w:themeColor="text1"/>
                <w:sz w:val="24"/>
                <w:szCs w:val="24"/>
                <w:u w:val="none"/>
              </w:rPr>
            </w:pPr>
            <w:r>
              <w:rPr>
                <w:rFonts w:hint="eastAsia" w:ascii="仿宋" w:hAnsi="仿宋" w:eastAsia="仿宋" w:cs="仿宋"/>
                <w:b w:val="0"/>
                <w:bCs/>
                <w:color w:val="000000" w:themeColor="text1"/>
                <w:sz w:val="24"/>
                <w:szCs w:val="24"/>
                <w:u w:val="none"/>
              </w:rPr>
              <w:t>福兴集团有限公司福兴煤矿</w:t>
            </w:r>
          </w:p>
        </w:tc>
        <w:tc>
          <w:tcPr>
            <w:tcW w:w="936"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val="0"/>
                <w:bCs/>
                <w:color w:val="000000" w:themeColor="text1"/>
                <w:kern w:val="2"/>
                <w:sz w:val="24"/>
                <w:szCs w:val="24"/>
                <w:u w:val="none"/>
                <w:lang w:val="en-US" w:eastAsia="zh-CN" w:bidi="ar-SA"/>
                <w14:textFill>
                  <w14:solidFill>
                    <w14:schemeClr w14:val="tx1"/>
                  </w14:solidFill>
                </w14:textFill>
              </w:rPr>
            </w:pPr>
            <w:r>
              <w:rPr>
                <w:rFonts w:hint="eastAsia" w:ascii="仿宋" w:hAnsi="仿宋" w:eastAsia="仿宋" w:cs="仿宋"/>
                <w:b w:val="0"/>
                <w:bCs/>
                <w:color w:val="000000" w:themeColor="text1"/>
                <w:sz w:val="24"/>
                <w:szCs w:val="24"/>
                <w:u w:val="none"/>
                <w:lang w:val="en-US" w:eastAsia="zh-CN"/>
                <w14:textFill>
                  <w14:solidFill>
                    <w14:schemeClr w14:val="tx1"/>
                  </w14:solidFill>
                </w14:textFill>
              </w:rPr>
              <w:t>枣庄市峄城区古邵镇曹庄福兴煤矿</w:t>
            </w:r>
          </w:p>
        </w:tc>
        <w:tc>
          <w:tcPr>
            <w:tcW w:w="1415"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val="0"/>
                <w:bCs/>
                <w:color w:val="000000" w:themeColor="text1"/>
                <w:kern w:val="2"/>
                <w:sz w:val="24"/>
                <w:szCs w:val="24"/>
                <w:u w:val="none"/>
                <w:lang w:val="en-US" w:eastAsia="zh-CN" w:bidi="ar-SA"/>
                <w14:textFill>
                  <w14:solidFill>
                    <w14:schemeClr w14:val="tx1"/>
                  </w14:solidFill>
                </w14:textFill>
              </w:rPr>
            </w:pPr>
            <w:r>
              <w:rPr>
                <w:rFonts w:hint="eastAsia" w:ascii="仿宋" w:hAnsi="仿宋" w:eastAsia="仿宋" w:cs="仿宋"/>
                <w:b w:val="0"/>
                <w:bCs/>
                <w:color w:val="000000" w:themeColor="text1"/>
                <w:sz w:val="24"/>
                <w:szCs w:val="24"/>
                <w:u w:val="none"/>
                <w:lang w:val="en-US" w:eastAsia="zh-CN"/>
                <w14:textFill>
                  <w14:solidFill>
                    <w14:schemeClr w14:val="tx1"/>
                  </w14:solidFill>
                </w14:textFill>
              </w:rPr>
              <w:t>350603707@qq.com</w:t>
            </w:r>
          </w:p>
        </w:tc>
        <w:tc>
          <w:tcPr>
            <w:tcW w:w="563"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val="0"/>
                <w:bCs/>
                <w:color w:val="000000" w:themeColor="text1"/>
                <w:kern w:val="2"/>
                <w:sz w:val="24"/>
                <w:szCs w:val="24"/>
                <w:u w:val="none"/>
                <w:lang w:val="en-US" w:eastAsia="zh-CN" w:bidi="ar-SA"/>
                <w14:textFill>
                  <w14:solidFill>
                    <w14:schemeClr w14:val="tx1"/>
                  </w14:solidFill>
                </w14:textFill>
              </w:rPr>
            </w:pPr>
            <w:r>
              <w:rPr>
                <w:rFonts w:hint="eastAsia" w:ascii="仿宋" w:hAnsi="仿宋" w:eastAsia="仿宋" w:cs="仿宋"/>
                <w:b w:val="0"/>
                <w:bCs/>
                <w:color w:val="000000" w:themeColor="text1"/>
                <w:sz w:val="24"/>
                <w:szCs w:val="24"/>
                <w:u w:val="none"/>
                <w:lang w:val="en-US" w:eastAsia="zh-CN"/>
                <w14:textFill>
                  <w14:solidFill>
                    <w14:schemeClr w14:val="tx1"/>
                  </w14:solidFill>
                </w14:textFill>
              </w:rPr>
              <w:t>孙伟</w:t>
            </w:r>
          </w:p>
        </w:tc>
        <w:tc>
          <w:tcPr>
            <w:tcW w:w="997"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仿宋" w:hAnsi="仿宋" w:eastAsia="仿宋" w:cs="仿宋"/>
                <w:b w:val="0"/>
                <w:bCs/>
                <w:color w:val="000000" w:themeColor="text1"/>
                <w:kern w:val="2"/>
                <w:sz w:val="24"/>
                <w:szCs w:val="24"/>
                <w:u w:val="none"/>
                <w:lang w:val="en-US" w:eastAsia="zh-CN" w:bidi="ar-SA"/>
                <w14:textFill>
                  <w14:solidFill>
                    <w14:schemeClr w14:val="tx1"/>
                  </w14:solidFill>
                </w14:textFill>
              </w:rPr>
            </w:pPr>
            <w:r>
              <w:rPr>
                <w:rFonts w:hint="eastAsia" w:ascii="仿宋" w:hAnsi="仿宋" w:eastAsia="仿宋" w:cs="仿宋"/>
                <w:b w:val="0"/>
                <w:bCs/>
                <w:color w:val="000000" w:themeColor="text1"/>
                <w:sz w:val="24"/>
                <w:szCs w:val="24"/>
                <w:u w:val="none"/>
                <w:lang w:val="en-US" w:eastAsia="zh-CN"/>
                <w14:textFill>
                  <w14:solidFill>
                    <w14:schemeClr w14:val="tx1"/>
                  </w14:solidFill>
                </w14:textFill>
              </w:rPr>
              <w:t>13375668599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87"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仿宋" w:hAnsi="仿宋" w:eastAsia="仿宋" w:cs="仿宋"/>
                <w:b w:val="0"/>
                <w:bCs/>
                <w:color w:val="000000" w:themeColor="text1"/>
                <w:sz w:val="24"/>
                <w:szCs w:val="24"/>
                <w:u w:val="none"/>
              </w:rPr>
            </w:pPr>
            <w:r>
              <w:rPr>
                <w:rFonts w:hint="eastAsia" w:ascii="仿宋" w:hAnsi="仿宋" w:eastAsia="仿宋" w:cs="仿宋"/>
                <w:b w:val="0"/>
                <w:bCs/>
                <w:color w:val="000000" w:themeColor="text1"/>
                <w:sz w:val="24"/>
                <w:szCs w:val="24"/>
                <w:u w:val="none"/>
              </w:rPr>
              <w:t>山东省微山湖矿业集团有限公司</w:t>
            </w:r>
          </w:p>
        </w:tc>
        <w:tc>
          <w:tcPr>
            <w:tcW w:w="936"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val="0"/>
                <w:bCs/>
                <w:color w:val="000000" w:themeColor="text1"/>
                <w:kern w:val="2"/>
                <w:sz w:val="24"/>
                <w:szCs w:val="24"/>
                <w:u w:val="none"/>
                <w:lang w:val="en-US" w:eastAsia="zh-CN" w:bidi="ar-SA"/>
                <w14:textFill>
                  <w14:solidFill>
                    <w14:schemeClr w14:val="tx1"/>
                  </w14:solidFill>
                </w14:textFill>
              </w:rPr>
            </w:pPr>
            <w:r>
              <w:rPr>
                <w:rFonts w:hint="eastAsia" w:ascii="仿宋" w:hAnsi="仿宋" w:eastAsia="仿宋" w:cs="仿宋"/>
                <w:b w:val="0"/>
                <w:bCs/>
                <w:color w:val="000000" w:themeColor="text1"/>
                <w:sz w:val="24"/>
                <w:szCs w:val="24"/>
                <w:u w:val="none"/>
                <w14:textFill>
                  <w14:solidFill>
                    <w14:schemeClr w14:val="tx1"/>
                  </w14:solidFill>
                </w14:textFill>
              </w:rPr>
              <w:t>山东省济宁市微山县高楼乡永胜北村</w:t>
            </w:r>
          </w:p>
        </w:tc>
        <w:tc>
          <w:tcPr>
            <w:tcW w:w="1415"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val="0"/>
                <w:bCs/>
                <w:color w:val="000000" w:themeColor="text1"/>
                <w:kern w:val="2"/>
                <w:sz w:val="24"/>
                <w:szCs w:val="24"/>
                <w:u w:val="none"/>
                <w:lang w:val="en-US" w:eastAsia="zh-CN" w:bidi="ar-SA"/>
                <w14:textFill>
                  <w14:solidFill>
                    <w14:schemeClr w14:val="tx1"/>
                  </w14:solidFill>
                </w14:textFill>
              </w:rPr>
            </w:pPr>
            <w:r>
              <w:rPr>
                <w:rFonts w:hint="eastAsia" w:ascii="仿宋" w:hAnsi="仿宋" w:eastAsia="仿宋" w:cs="仿宋"/>
                <w:b w:val="0"/>
                <w:bCs/>
                <w:color w:val="000000" w:themeColor="text1"/>
                <w:sz w:val="24"/>
                <w:szCs w:val="24"/>
                <w:u w:val="none"/>
                <w:lang w:val="en-US" w:eastAsia="zh-CN"/>
                <w14:textFill>
                  <w14:solidFill>
                    <w14:schemeClr w14:val="tx1"/>
                  </w14:solidFill>
                </w14:textFill>
              </w:rPr>
              <w:t>ysmkjsk@163.com</w:t>
            </w:r>
          </w:p>
        </w:tc>
        <w:tc>
          <w:tcPr>
            <w:tcW w:w="563"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val="0"/>
                <w:bCs/>
                <w:color w:val="000000" w:themeColor="text1"/>
                <w:kern w:val="2"/>
                <w:sz w:val="24"/>
                <w:szCs w:val="24"/>
                <w:u w:val="none"/>
                <w:lang w:val="en-US" w:eastAsia="zh-CN" w:bidi="ar-SA"/>
                <w14:textFill>
                  <w14:solidFill>
                    <w14:schemeClr w14:val="tx1"/>
                  </w14:solidFill>
                </w14:textFill>
              </w:rPr>
            </w:pPr>
            <w:r>
              <w:rPr>
                <w:rFonts w:hint="eastAsia" w:ascii="仿宋" w:hAnsi="仿宋" w:eastAsia="仿宋" w:cs="仿宋"/>
                <w:b w:val="0"/>
                <w:bCs/>
                <w:color w:val="000000" w:themeColor="text1"/>
                <w:sz w:val="24"/>
                <w:szCs w:val="24"/>
                <w:u w:val="none"/>
                <w:lang w:val="en-US" w:eastAsia="zh-CN"/>
                <w14:textFill>
                  <w14:solidFill>
                    <w14:schemeClr w14:val="tx1"/>
                  </w14:solidFill>
                </w14:textFill>
              </w:rPr>
              <w:t>桑春阳</w:t>
            </w:r>
          </w:p>
        </w:tc>
        <w:tc>
          <w:tcPr>
            <w:tcW w:w="997"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val="0"/>
                <w:bCs/>
                <w:color w:val="000000" w:themeColor="text1"/>
                <w:kern w:val="2"/>
                <w:sz w:val="24"/>
                <w:szCs w:val="24"/>
                <w:u w:val="none"/>
                <w:lang w:val="en-US" w:eastAsia="zh-CN" w:bidi="ar-SA"/>
                <w14:textFill>
                  <w14:solidFill>
                    <w14:schemeClr w14:val="tx1"/>
                  </w14:solidFill>
                </w14:textFill>
              </w:rPr>
            </w:pPr>
            <w:r>
              <w:rPr>
                <w:rFonts w:hint="eastAsia" w:ascii="仿宋" w:hAnsi="仿宋" w:eastAsia="仿宋" w:cs="仿宋"/>
                <w:b w:val="0"/>
                <w:bCs/>
                <w:color w:val="000000" w:themeColor="text1"/>
                <w:sz w:val="24"/>
                <w:szCs w:val="24"/>
                <w:u w:val="none"/>
                <w:lang w:val="en-US" w:eastAsia="zh-CN"/>
                <w14:textFill>
                  <w14:solidFill>
                    <w14:schemeClr w14:val="tx1"/>
                  </w14:solidFill>
                </w14:textFill>
              </w:rPr>
              <w:t>13562726054</w:t>
            </w:r>
          </w:p>
        </w:tc>
      </w:tr>
    </w:tbl>
    <w:p>
      <w:pPr>
        <w:spacing w:line="560" w:lineRule="exact"/>
        <w:ind w:firstLine="640"/>
        <w:rPr>
          <w:rFonts w:hint="eastAsia" w:ascii="仿宋" w:hAnsi="仿宋" w:eastAsia="仿宋" w:cs="仿宋"/>
          <w:sz w:val="28"/>
          <w:szCs w:val="28"/>
        </w:rPr>
      </w:pPr>
    </w:p>
    <w:p>
      <w:pPr>
        <w:spacing w:line="560" w:lineRule="exact"/>
        <w:ind w:firstLine="643"/>
        <w:outlineLvl w:val="0"/>
        <w:rPr>
          <w:rFonts w:ascii="仿宋" w:hAnsi="仿宋" w:eastAsia="仿宋" w:cs="仿宋"/>
          <w:b/>
          <w:sz w:val="28"/>
          <w:szCs w:val="28"/>
        </w:rPr>
      </w:pPr>
      <w:r>
        <w:rPr>
          <w:rFonts w:hint="eastAsia" w:ascii="仿宋" w:hAnsi="仿宋" w:eastAsia="仿宋" w:cs="仿宋"/>
          <w:b/>
          <w:sz w:val="28"/>
          <w:szCs w:val="28"/>
        </w:rPr>
        <w:t>3、环评机构名称</w:t>
      </w:r>
    </w:p>
    <w:p>
      <w:pPr>
        <w:spacing w:line="560" w:lineRule="exact"/>
        <w:ind w:firstLine="640"/>
        <w:rPr>
          <w:rFonts w:hint="eastAsia" w:ascii="仿宋" w:hAnsi="仿宋" w:eastAsia="仿宋" w:cs="仿宋"/>
          <w:sz w:val="28"/>
          <w:szCs w:val="28"/>
        </w:rPr>
      </w:pPr>
      <w:r>
        <w:rPr>
          <w:rFonts w:hint="eastAsia" w:ascii="仿宋" w:hAnsi="仿宋" w:eastAsia="仿宋" w:cs="仿宋"/>
          <w:sz w:val="28"/>
          <w:szCs w:val="28"/>
        </w:rPr>
        <w:t>环评单位：山东省环境保护科学研究设计院有限公司</w:t>
      </w:r>
    </w:p>
    <w:p>
      <w:pPr>
        <w:spacing w:line="560" w:lineRule="exact"/>
        <w:ind w:firstLine="643"/>
        <w:outlineLvl w:val="0"/>
        <w:rPr>
          <w:rFonts w:ascii="仿宋" w:hAnsi="仿宋" w:eastAsia="仿宋" w:cs="仿宋"/>
          <w:b/>
          <w:sz w:val="28"/>
          <w:szCs w:val="28"/>
        </w:rPr>
      </w:pPr>
      <w:r>
        <w:rPr>
          <w:rFonts w:hint="eastAsia" w:ascii="仿宋" w:hAnsi="仿宋" w:eastAsia="仿宋" w:cs="仿宋"/>
          <w:b/>
          <w:sz w:val="28"/>
          <w:szCs w:val="28"/>
        </w:rPr>
        <w:t>4、公众意见表网络链接</w:t>
      </w:r>
    </w:p>
    <w:p>
      <w:pPr>
        <w:spacing w:line="560" w:lineRule="exact"/>
        <w:ind w:firstLine="640"/>
        <w:rPr>
          <w:rFonts w:ascii="仿宋" w:hAnsi="仿宋" w:eastAsia="仿宋" w:cs="仿宋"/>
          <w:sz w:val="28"/>
          <w:szCs w:val="28"/>
        </w:rPr>
      </w:pPr>
      <w:r>
        <w:rPr>
          <w:rFonts w:hint="eastAsia" w:ascii="仿宋" w:hAnsi="仿宋" w:eastAsia="仿宋" w:cs="仿宋"/>
          <w:sz w:val="28"/>
          <w:szCs w:val="28"/>
          <w:u w:val="single"/>
        </w:rPr>
        <w:t>环境影响评价公众意见表网络链接</w:t>
      </w:r>
      <w:r>
        <w:rPr>
          <w:rFonts w:hint="eastAsia" w:ascii="仿宋" w:hAnsi="仿宋" w:eastAsia="仿宋" w:cs="仿宋"/>
          <w:sz w:val="28"/>
          <w:szCs w:val="28"/>
        </w:rPr>
        <w:t>见附件。</w:t>
      </w:r>
    </w:p>
    <w:p>
      <w:pPr>
        <w:spacing w:line="560" w:lineRule="exact"/>
        <w:ind w:firstLine="643"/>
        <w:outlineLvl w:val="0"/>
        <w:rPr>
          <w:rFonts w:ascii="仿宋" w:hAnsi="仿宋" w:eastAsia="仿宋" w:cs="仿宋"/>
          <w:b/>
          <w:sz w:val="28"/>
          <w:szCs w:val="28"/>
        </w:rPr>
      </w:pPr>
      <w:r>
        <w:rPr>
          <w:rFonts w:hint="eastAsia" w:ascii="仿宋" w:hAnsi="仿宋" w:eastAsia="仿宋" w:cs="仿宋"/>
          <w:b/>
          <w:sz w:val="28"/>
          <w:szCs w:val="28"/>
        </w:rPr>
        <w:t>5、提交公众意见表的方式与途径</w:t>
      </w:r>
    </w:p>
    <w:p>
      <w:pPr>
        <w:spacing w:line="560" w:lineRule="exact"/>
        <w:ind w:firstLine="640"/>
        <w:rPr>
          <w:rFonts w:ascii="仿宋" w:hAnsi="仿宋" w:eastAsia="仿宋" w:cs="仿宋"/>
          <w:color w:val="0000FF"/>
          <w:sz w:val="28"/>
          <w:szCs w:val="28"/>
        </w:rPr>
      </w:pPr>
      <w:r>
        <w:rPr>
          <w:rFonts w:hint="eastAsia" w:ascii="仿宋" w:hAnsi="仿宋" w:eastAsia="仿宋" w:cs="仿宋"/>
          <w:sz w:val="28"/>
          <w:szCs w:val="28"/>
        </w:rPr>
        <w:t>可邮寄或发电子邮件向建设单位提出个人、部门、单位的建议。如需进一步了解</w:t>
      </w:r>
      <w:r>
        <w:rPr>
          <w:rFonts w:hint="eastAsia" w:ascii="仿宋" w:hAnsi="仿宋" w:eastAsia="仿宋" w:cs="仿宋"/>
          <w:sz w:val="28"/>
          <w:szCs w:val="28"/>
          <w:lang w:val="en-US" w:eastAsia="zh-CN"/>
        </w:rPr>
        <w:t>矿区</w:t>
      </w:r>
      <w:r>
        <w:rPr>
          <w:rFonts w:hint="eastAsia" w:ascii="仿宋" w:hAnsi="仿宋" w:eastAsia="仿宋" w:cs="仿宋"/>
          <w:sz w:val="28"/>
          <w:szCs w:val="28"/>
        </w:rPr>
        <w:t>情况，请与建设单位联系。</w:t>
      </w:r>
    </w:p>
    <w:p>
      <w:pPr>
        <w:spacing w:line="560" w:lineRule="exact"/>
        <w:ind w:firstLine="640"/>
        <w:rPr>
          <w:rFonts w:hint="eastAsia" w:ascii="仿宋" w:hAnsi="仿宋" w:eastAsia="仿宋" w:cs="仿宋"/>
          <w:sz w:val="28"/>
          <w:szCs w:val="28"/>
        </w:rPr>
      </w:pPr>
      <w:r>
        <w:rPr>
          <w:rFonts w:hint="eastAsia" w:ascii="仿宋" w:hAnsi="仿宋" w:eastAsia="仿宋" w:cs="仿宋"/>
          <w:sz w:val="28"/>
          <w:szCs w:val="28"/>
        </w:rPr>
        <w:t>在环境影响报告书征求意见稿编制过程中，公众均可向建设单位提出与环境影响评价相关的意见。</w:t>
      </w:r>
    </w:p>
    <w:p>
      <w:pPr>
        <w:spacing w:line="560" w:lineRule="exact"/>
        <w:ind w:firstLine="640"/>
        <w:rPr>
          <w:rFonts w:hint="eastAsia" w:ascii="仿宋" w:hAnsi="仿宋" w:eastAsia="仿宋" w:cs="仿宋"/>
          <w:sz w:val="28"/>
          <w:szCs w:val="28"/>
        </w:rPr>
      </w:pPr>
    </w:p>
    <w:p>
      <w:pPr>
        <w:spacing w:line="560" w:lineRule="exact"/>
        <w:ind w:firstLine="640"/>
        <w:jc w:val="right"/>
        <w:rPr>
          <w:rFonts w:hint="eastAsia" w:ascii="仿宋" w:hAnsi="仿宋" w:eastAsia="仿宋" w:cs="仿宋"/>
          <w:sz w:val="28"/>
          <w:szCs w:val="28"/>
        </w:rPr>
      </w:pPr>
      <w:r>
        <w:rPr>
          <w:rFonts w:hint="eastAsia" w:ascii="仿宋" w:hAnsi="仿宋" w:eastAsia="仿宋" w:cs="仿宋"/>
          <w:sz w:val="28"/>
          <w:szCs w:val="28"/>
        </w:rPr>
        <w:t>枣庄大兴矿业有限责任公司</w:t>
      </w:r>
    </w:p>
    <w:p>
      <w:pPr>
        <w:spacing w:line="560" w:lineRule="exact"/>
        <w:ind w:firstLine="640"/>
        <w:jc w:val="right"/>
        <w:rPr>
          <w:rFonts w:hint="eastAsia" w:ascii="仿宋" w:hAnsi="仿宋" w:eastAsia="仿宋" w:cs="仿宋"/>
          <w:sz w:val="28"/>
          <w:szCs w:val="28"/>
        </w:rPr>
      </w:pPr>
      <w:r>
        <w:rPr>
          <w:rFonts w:hint="eastAsia" w:ascii="仿宋" w:hAnsi="仿宋" w:eastAsia="仿宋" w:cs="仿宋"/>
          <w:sz w:val="28"/>
          <w:szCs w:val="28"/>
        </w:rPr>
        <w:t>福兴集团有限公司福兴煤矿</w:t>
      </w:r>
    </w:p>
    <w:p>
      <w:pPr>
        <w:spacing w:line="560" w:lineRule="exact"/>
        <w:ind w:firstLine="640"/>
        <w:jc w:val="right"/>
        <w:rPr>
          <w:rFonts w:hint="eastAsia" w:ascii="仿宋" w:hAnsi="仿宋" w:eastAsia="仿宋" w:cs="仿宋"/>
          <w:sz w:val="28"/>
          <w:szCs w:val="28"/>
        </w:rPr>
      </w:pPr>
      <w:r>
        <w:rPr>
          <w:rFonts w:hint="eastAsia" w:ascii="仿宋" w:hAnsi="仿宋" w:eastAsia="仿宋" w:cs="仿宋"/>
          <w:sz w:val="28"/>
          <w:szCs w:val="28"/>
        </w:rPr>
        <w:t>山东省微山湖矿业集团有限公司</w:t>
      </w:r>
    </w:p>
    <w:p>
      <w:pPr>
        <w:wordWrap w:val="0"/>
        <w:ind w:firstLine="640"/>
        <w:jc w:val="right"/>
        <w:rPr>
          <w:rFonts w:hint="eastAsia" w:ascii="仿宋" w:hAnsi="仿宋" w:eastAsia="仿宋" w:cs="仿宋"/>
          <w:sz w:val="28"/>
          <w:szCs w:val="28"/>
        </w:rPr>
      </w:pPr>
      <w:bookmarkStart w:id="0" w:name="_GoBack"/>
      <w:bookmarkEnd w:id="0"/>
    </w:p>
    <w:p>
      <w:pPr>
        <w:wordWrap w:val="0"/>
        <w:ind w:firstLine="640"/>
        <w:jc w:val="right"/>
        <w:rPr>
          <w:rFonts w:ascii="仿宋" w:hAnsi="仿宋" w:eastAsia="仿宋" w:cs="仿宋"/>
          <w:sz w:val="32"/>
          <w:szCs w:val="32"/>
        </w:rPr>
      </w:pPr>
      <w:r>
        <w:rPr>
          <w:rFonts w:hint="eastAsia" w:ascii="仿宋" w:hAnsi="仿宋" w:eastAsia="仿宋" w:cs="仿宋"/>
          <w:sz w:val="28"/>
          <w:szCs w:val="28"/>
        </w:rPr>
        <w:t>2</w:t>
      </w:r>
      <w:r>
        <w:rPr>
          <w:rFonts w:ascii="仿宋" w:hAnsi="仿宋" w:eastAsia="仿宋" w:cs="仿宋"/>
          <w:sz w:val="28"/>
          <w:szCs w:val="28"/>
        </w:rPr>
        <w:t>02</w:t>
      </w:r>
      <w:r>
        <w:rPr>
          <w:rFonts w:hint="eastAsia" w:ascii="仿宋" w:hAnsi="仿宋" w:eastAsia="仿宋" w:cs="仿宋"/>
          <w:sz w:val="28"/>
          <w:szCs w:val="28"/>
          <w:lang w:val="en-US" w:eastAsia="zh-CN"/>
        </w:rPr>
        <w:t>3</w:t>
      </w:r>
      <w:r>
        <w:rPr>
          <w:rFonts w:hint="eastAsia" w:ascii="仿宋" w:hAnsi="仿宋" w:eastAsia="仿宋" w:cs="仿宋"/>
          <w:sz w:val="28"/>
          <w:szCs w:val="28"/>
        </w:rPr>
        <w:t>年</w:t>
      </w:r>
      <w:r>
        <w:rPr>
          <w:rFonts w:hint="eastAsia" w:ascii="仿宋" w:hAnsi="仿宋" w:eastAsia="仿宋" w:cs="仿宋"/>
          <w:sz w:val="28"/>
          <w:szCs w:val="28"/>
          <w:lang w:val="en-US" w:eastAsia="zh-CN"/>
        </w:rPr>
        <w:t>12</w:t>
      </w:r>
      <w:r>
        <w:rPr>
          <w:rFonts w:hint="eastAsia" w:ascii="仿宋" w:hAnsi="仿宋" w:eastAsia="仿宋" w:cs="仿宋"/>
          <w:sz w:val="28"/>
          <w:szCs w:val="28"/>
        </w:rPr>
        <w:t>月</w:t>
      </w:r>
      <w:r>
        <w:rPr>
          <w:rFonts w:hint="eastAsia" w:ascii="仿宋" w:hAnsi="仿宋" w:eastAsia="仿宋" w:cs="仿宋"/>
          <w:sz w:val="28"/>
          <w:szCs w:val="28"/>
          <w:lang w:val="en-US" w:eastAsia="zh-CN"/>
        </w:rPr>
        <w:t>29</w:t>
      </w:r>
      <w:r>
        <w:rPr>
          <w:rFonts w:hint="eastAsia" w:ascii="仿宋" w:hAnsi="仿宋" w:eastAsia="仿宋" w:cs="仿宋"/>
          <w:sz w:val="28"/>
          <w:szCs w:val="28"/>
        </w:rPr>
        <w:t>日</w:t>
      </w:r>
      <w:r>
        <w:rPr>
          <w:rFonts w:ascii="仿宋" w:hAnsi="仿宋" w:eastAsia="仿宋" w:cs="仿宋"/>
          <w:sz w:val="28"/>
          <w:szCs w:val="28"/>
        </w:rPr>
        <w:t xml:space="preserve">  </w:t>
      </w:r>
    </w:p>
    <w:p>
      <w:pPr>
        <w:ind w:firstLine="560"/>
        <w:rPr>
          <w:rFonts w:ascii="仿宋" w:hAnsi="仿宋" w:eastAsia="仿宋" w:cs="仿宋"/>
          <w:color w:val="0000FF"/>
          <w:sz w:val="28"/>
          <w:szCs w:val="28"/>
        </w:rPr>
      </w:pPr>
    </w:p>
    <w:p>
      <w:pPr>
        <w:ind w:firstLine="560"/>
        <w:rPr>
          <w:rFonts w:ascii="仿宋" w:hAnsi="仿宋" w:eastAsia="仿宋" w:cs="仿宋"/>
          <w:color w:val="0000FF"/>
          <w:sz w:val="28"/>
          <w:szCs w:val="28"/>
        </w:rPr>
      </w:pPr>
    </w:p>
    <w:sectPr>
      <w:headerReference r:id="rId6" w:type="first"/>
      <w:footerReference r:id="rId9" w:type="first"/>
      <w:footerReference r:id="rId7" w:type="default"/>
      <w:headerReference r:id="rId5" w:type="even"/>
      <w:footerReference r:id="rId8" w:type="even"/>
      <w:pgSz w:w="11906" w:h="16838"/>
      <w:pgMar w:top="1417" w:right="1417" w:bottom="1417" w:left="1457" w:header="851" w:footer="992" w:gutter="0"/>
      <w:pgBorders>
        <w:top w:val="none" w:sz="0" w:space="0"/>
        <w:left w:val="none" w:sz="0" w:space="0"/>
        <w:bottom w:val="none" w:sz="0" w:space="0"/>
        <w:right w:val="none" w:sz="0" w:space="0"/>
      </w:pgBorders>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firstLine="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DA368E"/>
    <w:multiLevelType w:val="singleLevel"/>
    <w:tmpl w:val="58DA368E"/>
    <w:lvl w:ilvl="0" w:tentative="0">
      <w:start w:val="2"/>
      <w:numFmt w:val="decimal"/>
      <w:suff w:val="nothing"/>
      <w:lvlText w:val="%1、"/>
      <w:lvlJc w:val="left"/>
    </w:lvl>
  </w:abstractNum>
  <w:num w:numId="1">
    <w:abstractNumId w:val="0"/>
  </w:num>
</w:numbering>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AEACE"/>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